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156"/>
        <w:jc w:val="left"/>
        <w:textAlignment w:val="baseline"/>
        <w:rPr>
          <w:rFonts w:hint="eastAsia" w:ascii="Arial" w:hAnsi="Arial" w:cs="Arial" w:eastAsiaTheme="minorEastAsia"/>
          <w:b/>
          <w:bCs/>
          <w:kern w:val="0"/>
          <w:sz w:val="24"/>
          <w:lang w:val="en-US" w:eastAsia="zh-CN"/>
        </w:rPr>
      </w:pPr>
      <w:r>
        <w:rPr>
          <w:rFonts w:ascii="Arial" w:hAnsi="Arial" w:cs="Arial"/>
          <w:b/>
          <w:bCs/>
          <w:kern w:val="0"/>
          <w:sz w:val="24"/>
          <w:lang w:val="en-GB"/>
        </w:rPr>
        <w:t>3GPP TSG-RAN WG2 Meeting #</w:t>
      </w:r>
      <w:r>
        <w:rPr>
          <w:rFonts w:hint="eastAsia" w:ascii="Arial" w:hAnsi="Arial" w:cs="Arial"/>
          <w:b/>
          <w:bCs/>
          <w:kern w:val="0"/>
          <w:sz w:val="24"/>
          <w:lang w:val="en-US" w:eastAsia="zh-CN"/>
        </w:rPr>
        <w:t>103bis</w:t>
      </w:r>
      <w:r>
        <w:rPr>
          <w:rFonts w:ascii="Arial" w:hAnsi="Arial" w:cs="Arial"/>
          <w:b/>
          <w:bCs/>
          <w:kern w:val="0"/>
          <w:sz w:val="24"/>
          <w:lang w:val="en-GB"/>
        </w:rPr>
        <w:t xml:space="preserve"> </w:t>
      </w:r>
      <w:r>
        <w:rPr>
          <w:rFonts w:ascii="Arial" w:hAnsi="Arial" w:cs="Arial"/>
          <w:b/>
          <w:bCs/>
          <w:kern w:val="0"/>
          <w:sz w:val="24"/>
          <w:lang w:val="en-GB"/>
        </w:rPr>
        <w:tab/>
      </w:r>
      <w:r>
        <w:rPr>
          <w:rFonts w:hint="eastAsia" w:ascii="Arial" w:hAnsi="Arial" w:cs="Arial"/>
          <w:b/>
          <w:bCs/>
          <w:kern w:val="0"/>
          <w:sz w:val="24"/>
        </w:rPr>
        <w:t xml:space="preserve">                      </w:t>
      </w:r>
      <w:r>
        <w:rPr>
          <w:rFonts w:hint="eastAsia" w:ascii="Arial" w:hAnsi="Arial" w:cs="Arial"/>
          <w:b/>
          <w:bCs/>
          <w:kern w:val="0"/>
          <w:sz w:val="24"/>
          <w:lang w:val="en-US" w:eastAsia="zh-CN"/>
        </w:rPr>
        <w:t xml:space="preserve">   </w:t>
      </w:r>
      <w:r>
        <w:rPr>
          <w:rFonts w:hint="eastAsia" w:ascii="Arial" w:hAnsi="Arial" w:cs="Arial"/>
          <w:b/>
          <w:bCs/>
          <w:kern w:val="0"/>
          <w:sz w:val="24"/>
        </w:rPr>
        <w:t xml:space="preserve">  </w:t>
      </w:r>
      <w:r>
        <w:rPr>
          <w:rFonts w:hint="eastAsia" w:ascii="Arial" w:hAnsi="Arial" w:cs="Arial"/>
          <w:b/>
          <w:bCs/>
          <w:kern w:val="0"/>
          <w:sz w:val="24"/>
          <w:lang w:val="en-GB"/>
        </w:rPr>
        <w:t>R2-1</w:t>
      </w:r>
      <w:r>
        <w:rPr>
          <w:rFonts w:hint="eastAsia" w:ascii="Arial" w:hAnsi="Arial" w:cs="Arial"/>
          <w:b/>
          <w:bCs/>
          <w:kern w:val="0"/>
          <w:sz w:val="24"/>
        </w:rPr>
        <w:t>8</w:t>
      </w:r>
      <w:r>
        <w:rPr>
          <w:rFonts w:hint="eastAsia" w:ascii="Arial" w:hAnsi="Arial" w:cs="Arial"/>
          <w:b/>
          <w:bCs/>
          <w:kern w:val="0"/>
          <w:sz w:val="24"/>
          <w:lang w:val="en-US" w:eastAsia="zh-CN"/>
        </w:rPr>
        <w:t>13940</w:t>
      </w:r>
    </w:p>
    <w:p>
      <w:pPr>
        <w:overflowPunct w:val="0"/>
        <w:autoSpaceDE w:val="0"/>
        <w:autoSpaceDN w:val="0"/>
        <w:adjustRightInd w:val="0"/>
        <w:snapToGrid w:val="0"/>
        <w:spacing w:before="156"/>
        <w:jc w:val="left"/>
        <w:textAlignment w:val="baseline"/>
        <w:rPr>
          <w:rFonts w:hint="eastAsia" w:ascii="Arial" w:hAnsi="Arial" w:cs="Arial"/>
          <w:b/>
          <w:bCs/>
          <w:kern w:val="0"/>
          <w:sz w:val="24"/>
          <w:lang w:val="en-US" w:eastAsia="zh-CN"/>
        </w:rPr>
      </w:pPr>
      <w:r>
        <w:rPr>
          <w:rFonts w:hint="eastAsia" w:ascii="Arial" w:hAnsi="Arial" w:cs="Arial"/>
          <w:b/>
          <w:bCs/>
          <w:kern w:val="0"/>
          <w:sz w:val="24"/>
          <w:lang w:val="en-US" w:eastAsia="zh-CN"/>
        </w:rPr>
        <w:t>Chengdu</w:t>
      </w:r>
      <w:r>
        <w:rPr>
          <w:rFonts w:ascii="Arial" w:hAnsi="Arial" w:cs="Arial"/>
          <w:b/>
          <w:bCs/>
          <w:kern w:val="0"/>
          <w:sz w:val="24"/>
          <w:lang w:val="en-GB"/>
        </w:rPr>
        <w:t xml:space="preserve">, </w:t>
      </w:r>
      <w:r>
        <w:rPr>
          <w:rFonts w:hint="eastAsia" w:ascii="Arial" w:hAnsi="Arial" w:cs="Arial"/>
          <w:b/>
          <w:bCs/>
          <w:kern w:val="0"/>
          <w:sz w:val="24"/>
          <w:lang w:val="en-US" w:eastAsia="zh-CN"/>
        </w:rPr>
        <w:t>China</w:t>
      </w:r>
      <w:r>
        <w:rPr>
          <w:rFonts w:ascii="Arial" w:hAnsi="Arial" w:cs="Arial"/>
          <w:b/>
          <w:bCs/>
          <w:kern w:val="0"/>
          <w:sz w:val="24"/>
          <w:lang w:val="en-GB"/>
        </w:rPr>
        <w:t xml:space="preserve">, </w:t>
      </w:r>
      <w:r>
        <w:rPr>
          <w:rFonts w:hint="eastAsia" w:ascii="Arial" w:hAnsi="Arial" w:cs="Arial"/>
          <w:b/>
          <w:bCs/>
          <w:kern w:val="0"/>
          <w:sz w:val="24"/>
          <w:lang w:val="en-US" w:eastAsia="zh-CN"/>
        </w:rPr>
        <w:t>8</w:t>
      </w:r>
      <w:r>
        <w:rPr>
          <w:rFonts w:hint="eastAsia" w:ascii="Arial" w:hAnsi="Arial" w:cs="Arial"/>
          <w:b/>
          <w:bCs/>
          <w:kern w:val="0"/>
          <w:sz w:val="24"/>
          <w:vertAlign w:val="superscript"/>
          <w:lang w:val="en-US" w:eastAsia="zh-CN"/>
        </w:rPr>
        <w:t>th</w:t>
      </w:r>
      <w:r>
        <w:rPr>
          <w:rFonts w:ascii="Arial" w:hAnsi="Arial" w:cs="Arial"/>
          <w:b/>
          <w:bCs/>
          <w:kern w:val="0"/>
          <w:sz w:val="24"/>
          <w:lang w:val="en-GB"/>
        </w:rPr>
        <w:t xml:space="preserve"> – </w:t>
      </w:r>
      <w:r>
        <w:rPr>
          <w:rFonts w:hint="eastAsia" w:ascii="Arial" w:hAnsi="Arial" w:cs="Arial"/>
          <w:b/>
          <w:bCs/>
          <w:kern w:val="0"/>
          <w:sz w:val="24"/>
          <w:lang w:val="en-US" w:eastAsia="zh-CN"/>
        </w:rPr>
        <w:t>12</w:t>
      </w:r>
      <w:r>
        <w:rPr>
          <w:rFonts w:hint="eastAsia" w:ascii="Arial" w:hAnsi="Arial" w:cs="Arial"/>
          <w:b/>
          <w:bCs/>
          <w:kern w:val="0"/>
          <w:sz w:val="24"/>
          <w:vertAlign w:val="superscript"/>
        </w:rPr>
        <w:t>th</w:t>
      </w:r>
      <w:r>
        <w:rPr>
          <w:rFonts w:ascii="Arial" w:hAnsi="Arial" w:cs="Arial"/>
          <w:b/>
          <w:bCs/>
          <w:kern w:val="0"/>
          <w:sz w:val="24"/>
          <w:lang w:val="en-GB"/>
        </w:rPr>
        <w:t xml:space="preserve"> </w:t>
      </w:r>
      <w:r>
        <w:rPr>
          <w:rFonts w:hint="eastAsia" w:ascii="Arial" w:hAnsi="Arial" w:cs="Arial"/>
          <w:b/>
          <w:bCs/>
          <w:kern w:val="0"/>
          <w:sz w:val="24"/>
          <w:lang w:val="en-US" w:eastAsia="zh-CN"/>
        </w:rPr>
        <w:t>Aug</w:t>
      </w:r>
      <w:r>
        <w:rPr>
          <w:rFonts w:hint="eastAsia" w:ascii="Arial" w:hAnsi="Arial" w:cs="Arial"/>
          <w:b/>
          <w:bCs/>
          <w:kern w:val="0"/>
          <w:sz w:val="24"/>
          <w:lang w:val="en-GB"/>
        </w:rPr>
        <w:t xml:space="preserve"> 2018</w:t>
      </w:r>
    </w:p>
    <w:p>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hint="eastAsia" w:ascii="Arial" w:hAnsi="Arial" w:cs="Arial"/>
          <w:b/>
          <w:bCs/>
          <w:color w:val="9A9B9D" w:themeColor="background2" w:themeTint="99"/>
          <w:kern w:val="0"/>
          <w:sz w:val="24"/>
          <w:lang w:val="en-GB"/>
          <w14:textFill>
            <w14:solidFill>
              <w14:schemeClr w14:val="bg2">
                <w14:lumMod w14:val="60000"/>
                <w14:lumOff w14:val="40000"/>
              </w14:schemeClr>
            </w14:solidFill>
          </w14:textFill>
        </w:rPr>
        <w:t xml:space="preserve"> </w:t>
      </w:r>
      <w:r>
        <w:rPr>
          <w:rFonts w:hint="eastAsia" w:ascii="Arial" w:hAnsi="Arial" w:cs="Arial"/>
          <w:b/>
          <w:bCs/>
          <w:color w:val="9A9B9D" w:themeColor="background2" w:themeTint="99"/>
          <w:kern w:val="0"/>
          <w:sz w:val="28"/>
          <w:szCs w:val="28"/>
          <w14:textFill>
            <w14:solidFill>
              <w14:schemeClr w14:val="bg2">
                <w14:lumMod w14:val="60000"/>
                <w14:lumOff w14:val="40000"/>
              </w14:schemeClr>
            </w14:solidFill>
          </w14:textFill>
        </w:rPr>
        <w:tab/>
      </w:r>
      <w:r>
        <w:rPr>
          <w:rFonts w:hint="eastAsia" w:ascii="Arial" w:hAnsi="Arial" w:cs="Arial"/>
          <w:b/>
          <w:bCs/>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 xml:space="preserve">      </w:t>
      </w:r>
    </w:p>
    <w:p>
      <w:pPr>
        <w:overflowPunct w:val="0"/>
        <w:autoSpaceDE w:val="0"/>
        <w:autoSpaceDN w:val="0"/>
        <w:adjustRightInd w:val="0"/>
        <w:snapToGrid w:val="0"/>
        <w:spacing w:before="156"/>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w:t>
      </w:r>
      <w:r>
        <w:rPr>
          <w:rFonts w:hint="eastAsia" w:ascii="Arial" w:hAnsi="Arial" w:cs="Arial"/>
          <w:b/>
          <w:bCs/>
          <w:snapToGrid w:val="0"/>
          <w:kern w:val="0"/>
          <w:sz w:val="24"/>
        </w:rPr>
        <w:t xml:space="preserve"> Corporation</w:t>
      </w:r>
      <w:r>
        <w:rPr>
          <w:rFonts w:hint="eastAsia" w:ascii="Arial" w:hAnsi="Arial" w:cs="Arial"/>
          <w:b/>
          <w:bCs/>
          <w:snapToGrid w:val="0"/>
          <w:kern w:val="0"/>
          <w:sz w:val="24"/>
          <w:lang w:val="en-US" w:eastAsia="zh-CN"/>
        </w:rPr>
        <w:t>, Sanechips</w:t>
      </w:r>
    </w:p>
    <w:p>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Further clarification on</w:t>
      </w:r>
      <w:r>
        <w:rPr>
          <w:rFonts w:hint="eastAsia" w:ascii="Arial" w:hAnsi="Arial" w:cs="Arial"/>
          <w:b/>
          <w:bCs/>
          <w:snapToGrid w:val="0"/>
          <w:kern w:val="0"/>
          <w:sz w:val="24"/>
        </w:rPr>
        <w:t xml:space="preserve"> </w:t>
      </w:r>
      <w:r>
        <w:rPr>
          <w:rFonts w:hint="eastAsia" w:ascii="Arial" w:hAnsi="Arial" w:cs="Arial"/>
          <w:b/>
          <w:bCs/>
          <w:snapToGrid w:val="0"/>
          <w:kern w:val="0"/>
          <w:sz w:val="24"/>
          <w:lang w:val="en-US" w:eastAsia="zh-CN"/>
        </w:rPr>
        <w:t>single BWP operation(Option2)</w:t>
      </w:r>
      <w:r>
        <w:rPr>
          <w:rFonts w:hint="eastAsia" w:ascii="Arial" w:hAnsi="Arial" w:cs="Arial"/>
          <w:b/>
          <w:bCs/>
          <w:snapToGrid w:val="0"/>
          <w:kern w:val="0"/>
          <w:sz w:val="24"/>
        </w:rPr>
        <w:t xml:space="preserve"> </w:t>
      </w:r>
      <w:r>
        <w:rPr>
          <w:rFonts w:ascii="Arial" w:hAnsi="Arial" w:cs="Arial"/>
          <w:b/>
          <w:bCs/>
          <w:snapToGrid w:val="0"/>
          <w:kern w:val="0"/>
          <w:sz w:val="24"/>
        </w:rPr>
        <w:t xml:space="preserve"> </w:t>
      </w:r>
    </w:p>
    <w:p>
      <w:pPr>
        <w:overflowPunct w:val="0"/>
        <w:autoSpaceDE w:val="0"/>
        <w:autoSpaceDN w:val="0"/>
        <w:adjustRightInd w:val="0"/>
        <w:snapToGrid w:val="0"/>
        <w:spacing w:before="156"/>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10.</w:t>
      </w:r>
      <w:r>
        <w:rPr>
          <w:rFonts w:hint="eastAsia" w:ascii="Arial" w:hAnsi="Arial" w:cs="Arial"/>
          <w:b/>
          <w:bCs/>
          <w:snapToGrid w:val="0"/>
          <w:kern w:val="0"/>
          <w:sz w:val="24"/>
          <w:lang w:val="en-US" w:eastAsia="zh-CN"/>
        </w:rPr>
        <w:t>4.1.3.1.1</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rPr>
          <w:lang w:val="en-US"/>
        </w:rPr>
      </w:pPr>
      <w:r>
        <w:rPr>
          <w:rFonts w:hint="eastAsia"/>
          <w:lang w:val="en-US" w:eastAsia="zh-CN"/>
        </w:rPr>
        <w:t>In the past RAN1/RAN2</w:t>
      </w:r>
      <w:r>
        <w:rPr>
          <w:rFonts w:hint="eastAsia"/>
        </w:rPr>
        <w:t xml:space="preserve"> meeting</w:t>
      </w:r>
      <w:r>
        <w:rPr>
          <w:rFonts w:hint="eastAsia"/>
          <w:lang w:val="en-US" w:eastAsia="zh-CN"/>
        </w:rPr>
        <w:t>s</w:t>
      </w:r>
      <w:r>
        <w:rPr>
          <w:rFonts w:hint="eastAsia"/>
        </w:rPr>
        <w:t>,</w:t>
      </w:r>
      <w:r>
        <w:rPr>
          <w:rFonts w:hint="eastAsia"/>
          <w:lang w:val="en-US" w:eastAsia="zh-CN"/>
        </w:rPr>
        <w:t xml:space="preserve"> companies have discussed the detail principle of single BWP operation(e.g. Option1 and Option2), and made tremendous agreements. At the same time, during RAN1 last meeting, it is agreed that Option2 is also applicable to PCell case.  </w:t>
      </w:r>
    </w:p>
    <w:p>
      <w:pPr>
        <w:spacing w:before="156"/>
      </w:pPr>
      <w:r>
        <w:rPr>
          <w:rFonts w:hint="eastAsia"/>
          <w:lang w:val="en-US" w:eastAsia="zh-CN"/>
        </w:rPr>
        <w:t>However, for Option2 operation in an TDD PCell, we realized some remaining issues related to real deployment, i</w:t>
      </w:r>
      <w:r>
        <w:rPr>
          <w:rFonts w:hint="eastAsia"/>
        </w:rPr>
        <w:t xml:space="preserve">n this contribution, we </w:t>
      </w:r>
      <w:r>
        <w:rPr>
          <w:rFonts w:hint="eastAsia"/>
          <w:lang w:val="en-US" w:eastAsia="zh-CN"/>
        </w:rPr>
        <w:t>further discussed these remaining issues and shared our views</w:t>
      </w:r>
      <w:r>
        <w:rPr>
          <w:rFonts w:hint="eastAsia"/>
        </w:rPr>
        <w:t>.</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p>
      <w:pPr>
        <w:spacing w:before="156"/>
        <w:rPr>
          <w:rFonts w:hint="eastAsia"/>
          <w:lang w:val="en-US" w:eastAsia="zh-CN"/>
        </w:rPr>
      </w:pPr>
      <w:r>
        <w:rPr>
          <w:rFonts w:hint="eastAsia"/>
          <w:lang w:val="en-US" w:eastAsia="zh-CN"/>
        </w:rPr>
        <w:t>During RAN1/RAN2 previous meetings, it is concluded that for feature 6-1 UEs, in order to configure large bandwidth at the beginning, both Option1 and Option2 will be supported.</w:t>
      </w:r>
    </w:p>
    <w:p>
      <w:pPr>
        <w:ind w:left="718" w:leftChars="0" w:hanging="718" w:hangingChars="359"/>
        <w:rPr>
          <w:sz w:val="20"/>
          <w:szCs w:val="22"/>
        </w:rPr>
      </w:pPr>
      <w:r>
        <w:rPr>
          <w:sz w:val="20"/>
          <w:szCs w:val="22"/>
        </w:rPr>
        <w:t>Option 1:</w:t>
      </w:r>
      <w:r>
        <w:rPr>
          <w:sz w:val="20"/>
          <w:szCs w:val="22"/>
        </w:rPr>
        <w:tab/>
      </w:r>
      <w:r>
        <w:rPr>
          <w:i/>
          <w:sz w:val="20"/>
          <w:szCs w:val="22"/>
        </w:rPr>
        <w:t>BWP-DownlinkCommon/UplinkCommon</w:t>
      </w:r>
      <w:r>
        <w:rPr>
          <w:sz w:val="20"/>
          <w:szCs w:val="22"/>
        </w:rPr>
        <w:t xml:space="preserve"> for </w:t>
      </w:r>
      <w:r>
        <w:rPr>
          <w:i/>
          <w:sz w:val="20"/>
          <w:szCs w:val="22"/>
        </w:rPr>
        <w:t>initialDownlink/UplinkBWP</w:t>
      </w:r>
      <w:r>
        <w:rPr>
          <w:sz w:val="20"/>
          <w:szCs w:val="22"/>
        </w:rPr>
        <w:t xml:space="preserve"> (BWP ID #0) plus </w:t>
      </w:r>
      <w:r>
        <w:rPr>
          <w:i/>
          <w:sz w:val="20"/>
          <w:szCs w:val="22"/>
        </w:rPr>
        <w:t>BWP-Downlink/Uplink</w:t>
      </w:r>
      <w:r>
        <w:rPr>
          <w:sz w:val="20"/>
          <w:szCs w:val="22"/>
        </w:rPr>
        <w:t xml:space="preserve"> for one configured </w:t>
      </w:r>
      <w:r>
        <w:rPr>
          <w:i/>
          <w:sz w:val="20"/>
          <w:szCs w:val="22"/>
        </w:rPr>
        <w:t>downlink/uplinkBWP</w:t>
      </w:r>
      <w:r>
        <w:rPr>
          <w:sz w:val="20"/>
          <w:szCs w:val="22"/>
        </w:rPr>
        <w:t xml:space="preserve"> (BWP ID #1);</w:t>
      </w:r>
    </w:p>
    <w:p>
      <w:pPr>
        <w:ind w:left="718" w:leftChars="0" w:hanging="718" w:hangingChars="359"/>
        <w:rPr>
          <w:sz w:val="20"/>
          <w:szCs w:val="22"/>
          <w:lang w:eastAsia="ja-JP"/>
        </w:rPr>
      </w:pPr>
      <w:r>
        <w:rPr>
          <w:sz w:val="20"/>
          <w:szCs w:val="22"/>
        </w:rPr>
        <w:t>Option 2:</w:t>
      </w:r>
      <w:r>
        <w:rPr>
          <w:sz w:val="20"/>
          <w:szCs w:val="22"/>
        </w:rPr>
        <w:tab/>
      </w:r>
      <w:r>
        <w:rPr>
          <w:i/>
          <w:sz w:val="20"/>
          <w:szCs w:val="22"/>
        </w:rPr>
        <w:t>BWP-DownlinkCommon/UplinkCommon</w:t>
      </w:r>
      <w:r>
        <w:rPr>
          <w:sz w:val="20"/>
          <w:szCs w:val="22"/>
        </w:rPr>
        <w:t xml:space="preserve"> and </w:t>
      </w:r>
      <w:r>
        <w:rPr>
          <w:i/>
          <w:sz w:val="20"/>
          <w:szCs w:val="22"/>
        </w:rPr>
        <w:t>BWP-DownlinkDedicated/UplinkDedicated</w:t>
      </w:r>
      <w:r>
        <w:rPr>
          <w:sz w:val="20"/>
          <w:szCs w:val="22"/>
        </w:rPr>
        <w:t xml:space="preserve"> for </w:t>
      </w:r>
      <w:r>
        <w:rPr>
          <w:i/>
          <w:sz w:val="20"/>
          <w:szCs w:val="22"/>
        </w:rPr>
        <w:t>initialDownlink/UplinkBWP</w:t>
      </w:r>
      <w:r>
        <w:rPr>
          <w:sz w:val="20"/>
          <w:szCs w:val="22"/>
        </w:rPr>
        <w:t xml:space="preserve"> (BWP ID #0).</w:t>
      </w:r>
    </w:p>
    <w:p>
      <w:pPr>
        <w:spacing w:before="156"/>
        <w:rPr>
          <w:rFonts w:hint="eastAsia"/>
          <w:lang w:val="en-US" w:eastAsia="zh-CN"/>
        </w:rPr>
      </w:pPr>
      <w:r>
        <w:rPr>
          <w:rFonts w:hint="eastAsia"/>
          <w:lang w:val="en-US" w:eastAsia="zh-CN"/>
        </w:rPr>
        <w:t>For Option2, since the larger bandwidth is indicated in SIB1, during RAN1 last meeting, RAN1 has discussed the impact and made following agreements:</w:t>
      </w:r>
    </w:p>
    <w:p>
      <w:pPr>
        <w:spacing w:before="156"/>
        <w:rPr>
          <w:rFonts w:hint="eastAsia"/>
          <w:lang w:val="en-US" w:eastAsia="zh-CN"/>
        </w:rPr>
      </w:pPr>
      <w:r>
        <w:rPr>
          <w:rFonts w:hint="eastAsia"/>
          <w:lang w:val="en-US" w:eastAsia="zh-CN"/>
        </w:rPr>
        <w:t>~~~~~~~~~~~~~~~~~~~~~~~~~~~~~~~~~~~~~~~~~~~~~~~~~~~~~~~~~~~~~~~~~~~~~~~~~~~~~~~~~~~</w:t>
      </w:r>
    </w:p>
    <w:p>
      <w:pPr>
        <w:keepNext w:val="0"/>
        <w:keepLines w:val="0"/>
        <w:pageBreakBefore w:val="0"/>
        <w:widowControl w:val="0"/>
        <w:kinsoku/>
        <w:wordWrap/>
        <w:topLinePunct w:val="0"/>
        <w:bidi w:val="0"/>
        <w:snapToGrid w:val="0"/>
        <w:spacing w:before="0" w:beforeLines="0" w:line="240" w:lineRule="auto"/>
        <w:outlineLvl w:val="9"/>
        <w:rPr>
          <w:b/>
          <w:sz w:val="20"/>
          <w:szCs w:val="20"/>
        </w:rPr>
      </w:pPr>
      <w:r>
        <w:rPr>
          <w:rFonts w:hint="eastAsia"/>
          <w:sz w:val="20"/>
          <w:szCs w:val="20"/>
          <w:highlight w:val="green"/>
          <w:lang w:val="en-US" w:eastAsia="zh-CN"/>
        </w:rPr>
        <w:t xml:space="preserve">RAN1 #94 </w:t>
      </w:r>
      <w:r>
        <w:rPr>
          <w:sz w:val="20"/>
          <w:szCs w:val="20"/>
          <w:highlight w:val="green"/>
        </w:rPr>
        <w:t>Agreements</w:t>
      </w:r>
      <w:r>
        <w:rPr>
          <w:b/>
          <w:sz w:val="20"/>
          <w:szCs w:val="20"/>
        </w:rPr>
        <w:t>:</w:t>
      </w:r>
    </w:p>
    <w:p>
      <w:pPr>
        <w:pStyle w:val="280"/>
        <w:keepNext w:val="0"/>
        <w:keepLines w:val="0"/>
        <w:pageBreakBefore w:val="0"/>
        <w:widowControl w:val="0"/>
        <w:numPr>
          <w:ilvl w:val="0"/>
          <w:numId w:val="4"/>
        </w:numPr>
        <w:kinsoku/>
        <w:wordWrap/>
        <w:topLinePunct w:val="0"/>
        <w:bidi w:val="0"/>
        <w:snapToGrid w:val="0"/>
        <w:spacing w:before="0" w:beforeLines="0" w:line="240" w:lineRule="auto"/>
        <w:outlineLvl w:val="9"/>
        <w:rPr>
          <w:sz w:val="20"/>
          <w:szCs w:val="20"/>
          <w:lang w:eastAsia="zh-TW"/>
        </w:rPr>
      </w:pPr>
      <w:r>
        <w:rPr>
          <w:sz w:val="20"/>
          <w:szCs w:val="20"/>
          <w:lang w:eastAsia="zh-TW"/>
        </w:rPr>
        <w:t>Modify the agreements in RAN1#92bis as follows.</w:t>
      </w:r>
    </w:p>
    <w:p>
      <w:pPr>
        <w:pStyle w:val="280"/>
        <w:keepNext w:val="0"/>
        <w:keepLines w:val="0"/>
        <w:pageBreakBefore w:val="0"/>
        <w:widowControl w:val="0"/>
        <w:numPr>
          <w:ilvl w:val="1"/>
          <w:numId w:val="4"/>
        </w:numPr>
        <w:kinsoku/>
        <w:wordWrap/>
        <w:topLinePunct w:val="0"/>
        <w:bidi w:val="0"/>
        <w:snapToGrid w:val="0"/>
        <w:spacing w:before="0" w:beforeLines="0" w:line="240" w:lineRule="auto"/>
        <w:outlineLvl w:val="9"/>
        <w:rPr>
          <w:sz w:val="20"/>
          <w:szCs w:val="20"/>
        </w:rPr>
      </w:pPr>
      <w:r>
        <w:rPr>
          <w:sz w:val="20"/>
          <w:szCs w:val="20"/>
        </w:rPr>
        <w:t>When monitoring for DCI in a BWP, the size of DCI format 0-0/1-0 is given by</w:t>
      </w:r>
    </w:p>
    <w:p>
      <w:pPr>
        <w:pStyle w:val="280"/>
        <w:keepNext w:val="0"/>
        <w:keepLines w:val="0"/>
        <w:pageBreakBefore w:val="0"/>
        <w:widowControl w:val="0"/>
        <w:numPr>
          <w:ilvl w:val="2"/>
          <w:numId w:val="4"/>
        </w:numPr>
        <w:kinsoku/>
        <w:wordWrap/>
        <w:topLinePunct w:val="0"/>
        <w:bidi w:val="0"/>
        <w:snapToGrid w:val="0"/>
        <w:spacing w:before="0" w:beforeLines="0" w:line="240" w:lineRule="auto"/>
        <w:outlineLvl w:val="9"/>
        <w:rPr>
          <w:sz w:val="20"/>
          <w:szCs w:val="20"/>
        </w:rPr>
      </w:pPr>
      <w:r>
        <w:rPr>
          <w:sz w:val="20"/>
          <w:szCs w:val="20"/>
        </w:rPr>
        <w:t xml:space="preserve">For format 0-0/1-0 (regardless of RNTI) in CSS, the size is given by </w:t>
      </w:r>
      <w:r>
        <w:rPr>
          <w:strike/>
          <w:color w:val="FF0000"/>
          <w:sz w:val="20"/>
          <w:szCs w:val="20"/>
        </w:rPr>
        <w:t>the initial DL BWP</w:t>
      </w:r>
      <w:r>
        <w:rPr>
          <w:color w:val="0000FF"/>
          <w:sz w:val="20"/>
          <w:szCs w:val="20"/>
          <w:u w:val="single"/>
        </w:rPr>
        <w:t>CORESET#0</w:t>
      </w:r>
    </w:p>
    <w:p>
      <w:pPr>
        <w:pStyle w:val="280"/>
        <w:keepNext w:val="0"/>
        <w:keepLines w:val="0"/>
        <w:pageBreakBefore w:val="0"/>
        <w:widowControl w:val="0"/>
        <w:numPr>
          <w:ilvl w:val="2"/>
          <w:numId w:val="4"/>
        </w:numPr>
        <w:kinsoku/>
        <w:wordWrap/>
        <w:topLinePunct w:val="0"/>
        <w:bidi w:val="0"/>
        <w:snapToGrid w:val="0"/>
        <w:spacing w:before="0" w:beforeLines="0" w:line="240" w:lineRule="auto"/>
        <w:outlineLvl w:val="9"/>
        <w:rPr>
          <w:sz w:val="20"/>
          <w:szCs w:val="20"/>
        </w:rPr>
      </w:pPr>
      <w:r>
        <w:rPr>
          <w:sz w:val="20"/>
          <w:szCs w:val="20"/>
        </w:rPr>
        <w:t>For format 0-0/1-0 in USS, the size is given by the active BWP as long as the DCI size budget is fulfilled</w:t>
      </w:r>
    </w:p>
    <w:p>
      <w:pPr>
        <w:pStyle w:val="280"/>
        <w:keepNext w:val="0"/>
        <w:keepLines w:val="0"/>
        <w:pageBreakBefore w:val="0"/>
        <w:widowControl w:val="0"/>
        <w:numPr>
          <w:ilvl w:val="3"/>
          <w:numId w:val="4"/>
        </w:numPr>
        <w:kinsoku/>
        <w:wordWrap/>
        <w:topLinePunct w:val="0"/>
        <w:bidi w:val="0"/>
        <w:snapToGrid w:val="0"/>
        <w:spacing w:before="0" w:beforeLines="0" w:line="240" w:lineRule="auto"/>
        <w:outlineLvl w:val="9"/>
        <w:rPr>
          <w:sz w:val="20"/>
          <w:szCs w:val="20"/>
        </w:rPr>
      </w:pPr>
      <w:r>
        <w:rPr>
          <w:sz w:val="20"/>
          <w:szCs w:val="20"/>
        </w:rPr>
        <w:t xml:space="preserve">Otherwise, for format 0-0/1-0, the size is given by </w:t>
      </w:r>
      <w:r>
        <w:rPr>
          <w:strike/>
          <w:color w:val="FF0000"/>
          <w:sz w:val="20"/>
          <w:szCs w:val="20"/>
        </w:rPr>
        <w:t>the initial DL BWP</w:t>
      </w:r>
      <w:r>
        <w:rPr>
          <w:color w:val="0000FF"/>
          <w:sz w:val="20"/>
          <w:szCs w:val="20"/>
          <w:u w:val="single"/>
        </w:rPr>
        <w:t>CORESET#0</w:t>
      </w:r>
    </w:p>
    <w:p>
      <w:pPr>
        <w:pStyle w:val="280"/>
        <w:keepNext w:val="0"/>
        <w:keepLines w:val="0"/>
        <w:pageBreakBefore w:val="0"/>
        <w:widowControl w:val="0"/>
        <w:numPr>
          <w:ilvl w:val="1"/>
          <w:numId w:val="4"/>
        </w:numPr>
        <w:kinsoku/>
        <w:wordWrap/>
        <w:topLinePunct w:val="0"/>
        <w:bidi w:val="0"/>
        <w:snapToGrid w:val="0"/>
        <w:spacing w:before="0" w:beforeLines="0" w:line="240" w:lineRule="auto"/>
        <w:outlineLvl w:val="9"/>
        <w:rPr>
          <w:sz w:val="20"/>
          <w:szCs w:val="20"/>
          <w:lang w:eastAsia="zh-TW"/>
        </w:rPr>
      </w:pPr>
      <w:r>
        <w:rPr>
          <w:sz w:val="20"/>
          <w:szCs w:val="20"/>
        </w:rPr>
        <w:t>For DCI format 1-0 in CSS with P-RNTI, SI-RNTI, RA-RNTI, C-RNTI, CS-RNTI, or TC-RNTI:</w:t>
      </w:r>
    </w:p>
    <w:p>
      <w:pPr>
        <w:pStyle w:val="280"/>
        <w:keepNext w:val="0"/>
        <w:keepLines w:val="0"/>
        <w:pageBreakBefore w:val="0"/>
        <w:widowControl w:val="0"/>
        <w:numPr>
          <w:ilvl w:val="2"/>
          <w:numId w:val="4"/>
        </w:numPr>
        <w:kinsoku/>
        <w:wordWrap/>
        <w:topLinePunct w:val="0"/>
        <w:bidi w:val="0"/>
        <w:snapToGrid w:val="0"/>
        <w:spacing w:before="0" w:beforeLines="0" w:line="240" w:lineRule="auto"/>
        <w:outlineLvl w:val="9"/>
        <w:rPr>
          <w:sz w:val="20"/>
          <w:szCs w:val="20"/>
          <w:lang w:eastAsia="zh-TW"/>
        </w:rPr>
      </w:pPr>
      <w:r>
        <w:rPr>
          <w:sz w:val="20"/>
          <w:szCs w:val="20"/>
        </w:rPr>
        <w:t>the RB numbering for the scheduled PDSCH starts from the lowest RB in the CORESET the DCI is received in</w:t>
      </w:r>
    </w:p>
    <w:p>
      <w:pPr>
        <w:pStyle w:val="280"/>
        <w:keepNext w:val="0"/>
        <w:keepLines w:val="0"/>
        <w:pageBreakBefore w:val="0"/>
        <w:widowControl w:val="0"/>
        <w:numPr>
          <w:ilvl w:val="2"/>
          <w:numId w:val="4"/>
        </w:numPr>
        <w:kinsoku/>
        <w:wordWrap/>
        <w:topLinePunct w:val="0"/>
        <w:bidi w:val="0"/>
        <w:snapToGrid w:val="0"/>
        <w:spacing w:before="0" w:beforeLines="0" w:line="240" w:lineRule="auto"/>
        <w:outlineLvl w:val="9"/>
        <w:rPr>
          <w:sz w:val="20"/>
          <w:szCs w:val="20"/>
        </w:rPr>
      </w:pPr>
      <w:r>
        <w:rPr>
          <w:sz w:val="20"/>
          <w:szCs w:val="20"/>
        </w:rPr>
        <w:t xml:space="preserve">the maximum number of RBs possible to indicate in the DCI is given by the size of </w:t>
      </w:r>
      <w:r>
        <w:rPr>
          <w:strike/>
          <w:color w:val="FF0000"/>
          <w:sz w:val="20"/>
          <w:szCs w:val="20"/>
        </w:rPr>
        <w:t>the initial DL BWP</w:t>
      </w:r>
      <w:r>
        <w:rPr>
          <w:color w:val="0000FF"/>
          <w:sz w:val="20"/>
          <w:szCs w:val="20"/>
          <w:u w:val="single"/>
        </w:rPr>
        <w:t>CORESET#0</w:t>
      </w:r>
      <w:r>
        <w:rPr>
          <w:sz w:val="20"/>
          <w:szCs w:val="20"/>
        </w:rPr>
        <w:t>.</w:t>
      </w:r>
    </w:p>
    <w:p>
      <w:pPr>
        <w:pStyle w:val="280"/>
        <w:keepNext w:val="0"/>
        <w:keepLines w:val="0"/>
        <w:pageBreakBefore w:val="0"/>
        <w:widowControl w:val="0"/>
        <w:numPr>
          <w:ilvl w:val="1"/>
          <w:numId w:val="4"/>
        </w:numPr>
        <w:kinsoku/>
        <w:wordWrap/>
        <w:topLinePunct w:val="0"/>
        <w:bidi w:val="0"/>
        <w:snapToGrid w:val="0"/>
        <w:spacing w:before="0" w:beforeLines="0" w:line="240" w:lineRule="auto"/>
        <w:outlineLvl w:val="9"/>
        <w:rPr>
          <w:sz w:val="20"/>
          <w:szCs w:val="20"/>
        </w:rPr>
      </w:pPr>
      <w:r>
        <w:rPr>
          <w:sz w:val="20"/>
          <w:szCs w:val="20"/>
        </w:rPr>
        <w:t xml:space="preserve">Payload sizes for 2-2 and 2-3 are padded (if needed) to match the size of formats 0-0/1-0 </w:t>
      </w:r>
      <w:r>
        <w:rPr>
          <w:strike/>
          <w:color w:val="FF0000"/>
          <w:sz w:val="20"/>
          <w:szCs w:val="20"/>
        </w:rPr>
        <w:t xml:space="preserve">as defined by the initial BWP </w:t>
      </w:r>
      <w:r>
        <w:rPr>
          <w:color w:val="0000FF"/>
          <w:sz w:val="20"/>
          <w:szCs w:val="20"/>
          <w:u w:val="single"/>
        </w:rPr>
        <w:t>in CSS</w:t>
      </w:r>
    </w:p>
    <w:p>
      <w:pPr>
        <w:pStyle w:val="280"/>
        <w:keepNext w:val="0"/>
        <w:keepLines w:val="0"/>
        <w:pageBreakBefore w:val="0"/>
        <w:widowControl w:val="0"/>
        <w:numPr>
          <w:ilvl w:val="0"/>
          <w:numId w:val="4"/>
        </w:numPr>
        <w:kinsoku/>
        <w:wordWrap/>
        <w:topLinePunct w:val="0"/>
        <w:bidi w:val="0"/>
        <w:snapToGrid w:val="0"/>
        <w:spacing w:before="0" w:beforeLines="0" w:line="240" w:lineRule="auto"/>
        <w:outlineLvl w:val="9"/>
        <w:rPr>
          <w:sz w:val="20"/>
          <w:szCs w:val="20"/>
          <w:lang w:eastAsia="zh-TW"/>
        </w:rPr>
      </w:pPr>
      <w:r>
        <w:rPr>
          <w:sz w:val="20"/>
          <w:szCs w:val="20"/>
          <w:lang w:eastAsia="zh-TW"/>
        </w:rPr>
        <w:t>Modify the agreements in RAN1#91 as follows if Option #2 is supported in PCell</w:t>
      </w:r>
    </w:p>
    <w:p>
      <w:pPr>
        <w:pStyle w:val="280"/>
        <w:keepNext w:val="0"/>
        <w:keepLines w:val="0"/>
        <w:pageBreakBefore w:val="0"/>
        <w:widowControl w:val="0"/>
        <w:numPr>
          <w:ilvl w:val="1"/>
          <w:numId w:val="4"/>
        </w:numPr>
        <w:kinsoku/>
        <w:wordWrap/>
        <w:topLinePunct w:val="0"/>
        <w:bidi w:val="0"/>
        <w:snapToGrid w:val="0"/>
        <w:spacing w:before="0" w:beforeLines="0" w:line="240" w:lineRule="auto"/>
        <w:outlineLvl w:val="9"/>
        <w:rPr>
          <w:sz w:val="20"/>
          <w:szCs w:val="20"/>
        </w:rPr>
      </w:pPr>
      <w:r>
        <w:rPr>
          <w:sz w:val="20"/>
          <w:szCs w:val="20"/>
        </w:rPr>
        <w:t xml:space="preserve">CORESET configured by RMSI is confined within </w:t>
      </w:r>
      <w:r>
        <w:rPr>
          <w:strike/>
          <w:color w:val="FF0000"/>
          <w:sz w:val="20"/>
          <w:szCs w:val="20"/>
        </w:rPr>
        <w:t>the initial DL BWP</w:t>
      </w:r>
      <w:r>
        <w:rPr>
          <w:color w:val="0000FF"/>
          <w:sz w:val="20"/>
          <w:szCs w:val="20"/>
          <w:u w:val="single"/>
        </w:rPr>
        <w:t>the bandwidth of CORESET#0</w:t>
      </w:r>
    </w:p>
    <w:p>
      <w:pPr>
        <w:pStyle w:val="280"/>
        <w:keepNext w:val="0"/>
        <w:keepLines w:val="0"/>
        <w:pageBreakBefore w:val="0"/>
        <w:widowControl w:val="0"/>
        <w:numPr>
          <w:ilvl w:val="0"/>
          <w:numId w:val="4"/>
        </w:numPr>
        <w:kinsoku/>
        <w:wordWrap/>
        <w:topLinePunct w:val="0"/>
        <w:bidi w:val="0"/>
        <w:snapToGrid w:val="0"/>
        <w:spacing w:before="0" w:beforeLines="0" w:line="240" w:lineRule="auto"/>
        <w:outlineLvl w:val="9"/>
        <w:rPr>
          <w:sz w:val="20"/>
          <w:szCs w:val="20"/>
          <w:highlight w:val="yellow"/>
        </w:rPr>
      </w:pPr>
      <w:r>
        <w:rPr>
          <w:sz w:val="20"/>
          <w:szCs w:val="20"/>
          <w:highlight w:val="yellow"/>
        </w:rPr>
        <w:t xml:space="preserve">For PCell, </w:t>
      </w:r>
      <w:r>
        <w:rPr>
          <w:sz w:val="20"/>
          <w:szCs w:val="20"/>
          <w:highlight w:val="yellow"/>
          <w:lang w:eastAsia="zh-TW"/>
        </w:rPr>
        <w:t>the initial DL BWP can be configured in SIB1 to be the same as or different with the initial DL BWP as initially defined by CORESET#0</w:t>
      </w:r>
    </w:p>
    <w:p>
      <w:pPr>
        <w:pStyle w:val="280"/>
        <w:keepNext w:val="0"/>
        <w:keepLines w:val="0"/>
        <w:pageBreakBefore w:val="0"/>
        <w:widowControl w:val="0"/>
        <w:numPr>
          <w:ilvl w:val="1"/>
          <w:numId w:val="4"/>
        </w:numPr>
        <w:kinsoku/>
        <w:wordWrap/>
        <w:topLinePunct w:val="0"/>
        <w:bidi w:val="0"/>
        <w:snapToGrid w:val="0"/>
        <w:spacing w:before="0" w:beforeLines="0" w:line="240" w:lineRule="auto"/>
        <w:outlineLvl w:val="9"/>
        <w:rPr>
          <w:sz w:val="20"/>
          <w:szCs w:val="20"/>
        </w:rPr>
      </w:pPr>
      <w:r>
        <w:rPr>
          <w:sz w:val="20"/>
          <w:szCs w:val="20"/>
        </w:rPr>
        <w:t>The initial DL BWP configured in SIB1 includes the bandwidth of CORESET#0</w:t>
      </w:r>
    </w:p>
    <w:p>
      <w:pPr>
        <w:pStyle w:val="280"/>
        <w:keepNext w:val="0"/>
        <w:keepLines w:val="0"/>
        <w:pageBreakBefore w:val="0"/>
        <w:widowControl w:val="0"/>
        <w:numPr>
          <w:ilvl w:val="1"/>
          <w:numId w:val="4"/>
        </w:numPr>
        <w:kinsoku/>
        <w:wordWrap/>
        <w:topLinePunct w:val="0"/>
        <w:bidi w:val="0"/>
        <w:snapToGrid w:val="0"/>
        <w:spacing w:before="0" w:beforeLines="0" w:line="240" w:lineRule="auto"/>
        <w:outlineLvl w:val="9"/>
        <w:rPr>
          <w:sz w:val="20"/>
          <w:szCs w:val="20"/>
        </w:rPr>
      </w:pPr>
      <w:r>
        <w:rPr>
          <w:sz w:val="20"/>
          <w:szCs w:val="20"/>
        </w:rPr>
        <w:t xml:space="preserve">If the initial DL BWP configured by SIB1 is different with the initial DL BWP as initially defined by CORESET#0, </w:t>
      </w:r>
      <w:r>
        <w:rPr>
          <w:sz w:val="20"/>
          <w:szCs w:val="20"/>
          <w:highlight w:val="yellow"/>
        </w:rPr>
        <w:t>the configuration of the initial DL BWP configured by SIB1 is applicable after the initial access</w:t>
      </w:r>
    </w:p>
    <w:p>
      <w:pPr>
        <w:pStyle w:val="280"/>
        <w:keepNext w:val="0"/>
        <w:keepLines w:val="0"/>
        <w:pageBreakBefore w:val="0"/>
        <w:widowControl w:val="0"/>
        <w:numPr>
          <w:ilvl w:val="0"/>
          <w:numId w:val="4"/>
        </w:numPr>
        <w:kinsoku/>
        <w:wordWrap/>
        <w:topLinePunct w:val="0"/>
        <w:bidi w:val="0"/>
        <w:snapToGrid w:val="0"/>
        <w:spacing w:before="0" w:beforeLines="0" w:line="240" w:lineRule="auto"/>
        <w:outlineLvl w:val="9"/>
        <w:rPr>
          <w:sz w:val="20"/>
          <w:szCs w:val="20"/>
          <w:lang w:eastAsia="zh-TW"/>
        </w:rPr>
      </w:pPr>
      <w:r>
        <w:rPr>
          <w:sz w:val="20"/>
          <w:szCs w:val="20"/>
          <w:lang w:eastAsia="zh-TW"/>
        </w:rPr>
        <w:t>For PSCell and SCell, the initial DL BWP of a cell can be configured to be the same as or different with the initial DL BWP as defined by CORESET#0 of the cell</w:t>
      </w:r>
    </w:p>
    <w:p>
      <w:pPr>
        <w:pStyle w:val="280"/>
        <w:keepNext w:val="0"/>
        <w:keepLines w:val="0"/>
        <w:pageBreakBefore w:val="0"/>
        <w:widowControl w:val="0"/>
        <w:numPr>
          <w:ilvl w:val="1"/>
          <w:numId w:val="4"/>
        </w:numPr>
        <w:kinsoku/>
        <w:wordWrap/>
        <w:topLinePunct w:val="0"/>
        <w:bidi w:val="0"/>
        <w:snapToGrid w:val="0"/>
        <w:spacing w:before="0" w:beforeLines="0" w:line="240" w:lineRule="auto"/>
        <w:outlineLvl w:val="9"/>
        <w:rPr>
          <w:sz w:val="20"/>
          <w:szCs w:val="20"/>
          <w:lang w:eastAsia="zh-TW"/>
        </w:rPr>
      </w:pPr>
      <w:r>
        <w:rPr>
          <w:sz w:val="20"/>
          <w:szCs w:val="20"/>
          <w:lang w:eastAsia="zh-TW"/>
        </w:rPr>
        <w:t>The initial DL BWP of a cell includes the bandwidth of CORESET#0 of the cell</w:t>
      </w:r>
    </w:p>
    <w:p>
      <w:pPr>
        <w:pStyle w:val="280"/>
        <w:keepNext w:val="0"/>
        <w:keepLines w:val="0"/>
        <w:pageBreakBefore w:val="0"/>
        <w:widowControl w:val="0"/>
        <w:numPr>
          <w:ilvl w:val="0"/>
          <w:numId w:val="4"/>
        </w:numPr>
        <w:kinsoku/>
        <w:wordWrap/>
        <w:topLinePunct w:val="0"/>
        <w:bidi w:val="0"/>
        <w:snapToGrid w:val="0"/>
        <w:spacing w:before="0" w:beforeLines="0" w:line="240" w:lineRule="auto"/>
        <w:outlineLvl w:val="9"/>
        <w:rPr>
          <w:sz w:val="20"/>
          <w:szCs w:val="20"/>
          <w:lang w:eastAsia="zh-TW"/>
        </w:rPr>
      </w:pPr>
      <w:r>
        <w:rPr>
          <w:sz w:val="20"/>
          <w:szCs w:val="20"/>
          <w:lang w:eastAsia="zh-TW"/>
        </w:rPr>
        <w:t>Note: RAN1 assumes that the above agreements related to PCell, PSCell and SCell have no RAN1 specification impact and will be captured in RAN2 specs</w:t>
      </w:r>
    </w:p>
    <w:p>
      <w:pPr>
        <w:pStyle w:val="280"/>
        <w:keepNext w:val="0"/>
        <w:keepLines w:val="0"/>
        <w:pageBreakBefore w:val="0"/>
        <w:widowControl w:val="0"/>
        <w:numPr>
          <w:ilvl w:val="0"/>
          <w:numId w:val="4"/>
        </w:numPr>
        <w:kinsoku/>
        <w:wordWrap/>
        <w:topLinePunct w:val="0"/>
        <w:bidi w:val="0"/>
        <w:snapToGrid w:val="0"/>
        <w:spacing w:before="0" w:beforeLines="0" w:line="240" w:lineRule="auto"/>
        <w:outlineLvl w:val="9"/>
        <w:rPr>
          <w:rFonts w:hint="eastAsia"/>
          <w:lang w:val="en-US" w:eastAsia="zh-CN"/>
        </w:rPr>
      </w:pPr>
      <w:r>
        <w:rPr>
          <w:sz w:val="20"/>
          <w:szCs w:val="20"/>
          <w:lang w:eastAsia="zh-TW"/>
        </w:rPr>
        <w:t>Send LS to RAN2 to ask RAN2 to capture the above agreements related to PCell, PSCell and SCell in RAN2 specs</w:t>
      </w:r>
    </w:p>
    <w:p>
      <w:pPr>
        <w:spacing w:before="156"/>
        <w:rPr>
          <w:rFonts w:hint="eastAsia"/>
          <w:lang w:val="en-US" w:eastAsia="zh-CN"/>
        </w:rPr>
      </w:pPr>
      <w:r>
        <w:rPr>
          <w:rFonts w:hint="eastAsia"/>
          <w:lang w:val="en-US" w:eastAsia="zh-CN"/>
        </w:rPr>
        <w:t>~~~~~~~~~~~~~~~~~~~~~~~~~~~~~~~~~~~~~~~~~~~~~~~~~~~~~~~~~~~~~~~~~~~~~~~~~~~~~~~~~~~</w:t>
      </w:r>
    </w:p>
    <w:p>
      <w:pPr>
        <w:spacing w:before="156"/>
        <w:rPr>
          <w:rFonts w:hint="eastAsia"/>
          <w:lang w:val="en-US" w:eastAsia="zh-CN"/>
        </w:rPr>
      </w:pPr>
      <w:r>
        <w:rPr>
          <w:rFonts w:hint="eastAsia"/>
          <w:lang w:val="en-US" w:eastAsia="zh-CN"/>
        </w:rPr>
        <w:t>Based on RAN1 agreements, Option2 is applicable for PCell case, take initial access as an example, RAN1 concluded that the configuration of initial DL BWP configured by SIB1 is applicable after the initial access. Here, our interpretation is that the large DL bandwidth is applicable after receiving Msg4. Before that, network should ensure the scheduling resources of Msg2 and Msg4 are within the frequency range of CORESET#0.</w:t>
      </w:r>
    </w:p>
    <w:p>
      <w:pPr>
        <w:spacing w:before="156"/>
        <w:rPr>
          <w:rFonts w:hint="eastAsia"/>
          <w:lang w:val="en-US" w:eastAsia="zh-CN"/>
        </w:rPr>
      </w:pPr>
      <w:r>
        <w:rPr>
          <w:rFonts w:hint="eastAsia"/>
          <w:lang w:val="en-US" w:eastAsia="zh-CN"/>
        </w:rPr>
        <w:t xml:space="preserve">However, the initial UL BWP is configured by SIB1 will be used to calculate common PRACH/PUCCH resources. Which means for initial access UEs, the configuration of initial UL BWP is applicable directly after receiving SIB1. </w:t>
      </w:r>
    </w:p>
    <w:p>
      <w:pPr>
        <w:spacing w:before="156"/>
        <w:ind w:left="1265" w:leftChars="0" w:hanging="1265" w:hangingChars="600"/>
        <w:rPr>
          <w:rFonts w:hint="eastAsia"/>
          <w:lang w:val="en-US" w:eastAsia="zh-CN"/>
        </w:rPr>
      </w:pPr>
      <w:r>
        <w:rPr>
          <w:rFonts w:hint="eastAsia"/>
          <w:b/>
          <w:lang w:val="en-US" w:eastAsia="zh-CN"/>
        </w:rPr>
        <w:t>Observation1</w:t>
      </w:r>
      <w:r>
        <w:rPr>
          <w:rFonts w:hint="eastAsia"/>
          <w:b/>
        </w:rPr>
        <w:t xml:space="preserve">: </w:t>
      </w:r>
      <w:r>
        <w:rPr>
          <w:rFonts w:hint="eastAsia"/>
          <w:b/>
          <w:lang w:val="en-US" w:eastAsia="zh-CN"/>
        </w:rPr>
        <w:t xml:space="preserve">Regarding BWP Option2 operation, the configuration of initial DL BWP configured by SIB1 is applicable </w:t>
      </w:r>
      <w:r>
        <w:rPr>
          <w:rFonts w:hint="eastAsia"/>
          <w:b/>
          <w:u w:val="single"/>
          <w:lang w:val="en-US" w:eastAsia="zh-CN"/>
        </w:rPr>
        <w:t>after</w:t>
      </w:r>
      <w:r>
        <w:rPr>
          <w:rFonts w:hint="eastAsia"/>
          <w:b/>
          <w:lang w:val="en-US" w:eastAsia="zh-CN"/>
        </w:rPr>
        <w:t xml:space="preserve"> initial access. While the configuration of initial UL BWP configured by SIB1 is applicable </w:t>
      </w:r>
      <w:r>
        <w:rPr>
          <w:rFonts w:hint="eastAsia"/>
          <w:b/>
          <w:u w:val="single"/>
          <w:lang w:val="en-US" w:eastAsia="zh-CN"/>
        </w:rPr>
        <w:t>before</w:t>
      </w:r>
      <w:r>
        <w:rPr>
          <w:rFonts w:hint="eastAsia"/>
          <w:b/>
          <w:lang w:val="en-US" w:eastAsia="zh-CN"/>
        </w:rPr>
        <w:t xml:space="preserve"> initial access. </w:t>
      </w:r>
    </w:p>
    <w:p>
      <w:pPr>
        <w:spacing w:before="156"/>
        <w:rPr>
          <w:rFonts w:hint="eastAsia"/>
          <w:lang w:val="en-US" w:eastAsia="zh-CN"/>
        </w:rPr>
      </w:pPr>
      <w:r>
        <w:rPr>
          <w:rFonts w:hint="eastAsia"/>
          <w:lang w:val="en-US" w:eastAsia="zh-CN"/>
        </w:rPr>
        <w:t>Based on observation1, during RACH period, UE operates on CORESET#0 for downlink and the configured initial UL BWP for uplink. Investigate in TDD mode operation, RAN2 spec restricts that the configured paired DL BWP and UL BWP must have same BWP ID and located with same center frequency. Due to the different applicable time of DL and UL BWP, following issue turns up:</w:t>
      </w:r>
    </w:p>
    <w:p>
      <w:pPr>
        <w:spacing w:before="156"/>
        <w:rPr>
          <w:rFonts w:hint="eastAsia"/>
          <w:b w:val="0"/>
          <w:bCs w:val="0"/>
          <w:i w:val="0"/>
          <w:iCs w:val="0"/>
          <w:color w:val="C00000"/>
          <w:lang w:val="en-US" w:eastAsia="zh-CN"/>
        </w:rPr>
      </w:pPr>
      <w:r>
        <w:rPr>
          <w:rFonts w:hint="eastAsia"/>
          <w:b/>
          <w:bCs/>
          <w:i w:val="0"/>
          <w:iCs w:val="0"/>
          <w:color w:val="C00000"/>
          <w:u w:val="none"/>
          <w:lang w:val="en-US" w:eastAsia="zh-CN"/>
        </w:rPr>
        <w:t>Issue 1</w:t>
      </w:r>
      <w:r>
        <w:rPr>
          <w:rFonts w:hint="eastAsia"/>
          <w:b w:val="0"/>
          <w:bCs w:val="0"/>
          <w:i w:val="0"/>
          <w:iCs w:val="0"/>
          <w:color w:val="C00000"/>
          <w:lang w:val="en-US" w:eastAsia="zh-CN"/>
        </w:rPr>
        <w:t>: For PCell with BWP Option2 operation in TDD mode, whether the initial DL/UL BWP configured by SIB1 must have the same center frequency as CORESET#0 in MIB?</w:t>
      </w:r>
    </w:p>
    <w:p>
      <w:pPr>
        <w:spacing w:before="156"/>
        <w:rPr>
          <w:rFonts w:hint="eastAsia"/>
          <w:lang w:val="en-US" w:eastAsia="zh-CN"/>
        </w:rPr>
      </w:pPr>
      <w:r>
        <w:rPr>
          <w:rFonts w:hint="eastAsia"/>
          <w:lang w:val="en-US" w:eastAsia="zh-CN"/>
        </w:rPr>
        <w:t xml:space="preserve">The typical configuration is illustrated in following Figure 1, whether NW is only allowed to configure f1=f0? </w:t>
      </w:r>
    </w:p>
    <w:p>
      <w:pPr>
        <w:spacing w:before="156"/>
        <w:jc w:val="center"/>
        <w:rPr>
          <w:rFonts w:hint="eastAsia"/>
          <w:lang w:val="en-US" w:eastAsia="zh-CN"/>
        </w:rPr>
      </w:pPr>
      <w:r>
        <w:rPr>
          <w:rFonts w:hint="eastAsia"/>
          <w:lang w:val="en-US" w:eastAsia="zh-CN"/>
        </w:rPr>
        <w:object>
          <v:shape id="_x0000_i1025" o:spt="75" type="#_x0000_t75" style="height:159.75pt;width:180.7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spacing w:before="156"/>
        <w:jc w:val="center"/>
        <w:rPr>
          <w:rFonts w:hint="eastAsia"/>
          <w:u w:val="none"/>
          <w:lang w:val="en-US" w:eastAsia="zh-CN"/>
        </w:rPr>
      </w:pPr>
      <w:r>
        <w:rPr>
          <w:rFonts w:hint="eastAsia"/>
          <w:u w:val="none"/>
          <w:lang w:val="en-US" w:eastAsia="zh-CN"/>
        </w:rPr>
        <w:t>Figure 1 An example of BWP Option2 configuration</w:t>
      </w:r>
    </w:p>
    <w:p>
      <w:pPr>
        <w:spacing w:before="156"/>
        <w:rPr>
          <w:rFonts w:hint="eastAsia"/>
          <w:u w:val="none"/>
          <w:lang w:val="en-US" w:eastAsia="zh-CN"/>
        </w:rPr>
      </w:pPr>
      <w:r>
        <w:rPr>
          <w:rFonts w:hint="eastAsia"/>
          <w:u w:val="none"/>
          <w:lang w:val="en-US" w:eastAsia="zh-CN"/>
        </w:rPr>
        <w:t>Regarding above issue1, two possible answers are on the table:</w:t>
      </w:r>
    </w:p>
    <w:p>
      <w:pPr>
        <w:spacing w:before="156"/>
        <w:ind w:left="641" w:leftChars="0" w:hanging="641" w:hangingChars="304"/>
        <w:rPr>
          <w:rFonts w:hint="eastAsia"/>
          <w:u w:val="none"/>
          <w:lang w:val="en-US" w:eastAsia="zh-CN"/>
        </w:rPr>
      </w:pPr>
      <w:r>
        <w:rPr>
          <w:rFonts w:hint="eastAsia"/>
          <w:b/>
          <w:bCs/>
          <w:color w:val="0000FF"/>
          <w:u w:val="none"/>
          <w:lang w:val="en-US" w:eastAsia="zh-CN"/>
        </w:rPr>
        <w:t>Alt1 :</w:t>
      </w:r>
      <w:r>
        <w:rPr>
          <w:rFonts w:hint="eastAsia"/>
          <w:b/>
          <w:bCs/>
          <w:color w:val="0000FF"/>
          <w:u w:val="none"/>
          <w:lang w:val="en-US" w:eastAsia="zh-CN"/>
        </w:rPr>
        <w:tab/>
      </w:r>
      <w:r>
        <w:rPr>
          <w:rFonts w:hint="eastAsia"/>
          <w:u w:val="none"/>
          <w:lang w:val="en-US" w:eastAsia="zh-CN"/>
        </w:rPr>
        <w:t>Network is only allowed to configure f1=f0, which means for BWP option2 operation, CORESET#0 in MIB must be located in the center frequency of initial DL/UL BWP configured by SIB1;</w:t>
      </w:r>
    </w:p>
    <w:p>
      <w:pPr>
        <w:spacing w:before="156"/>
        <w:ind w:left="641" w:leftChars="0" w:hanging="641" w:hangingChars="304"/>
        <w:rPr>
          <w:rFonts w:hint="eastAsia"/>
          <w:u w:val="none"/>
          <w:lang w:val="en-US" w:eastAsia="zh-CN"/>
        </w:rPr>
      </w:pPr>
      <w:r>
        <w:rPr>
          <w:rFonts w:hint="eastAsia"/>
          <w:b/>
          <w:bCs/>
          <w:color w:val="0000FF"/>
          <w:u w:val="none"/>
          <w:lang w:val="en-US" w:eastAsia="zh-CN"/>
        </w:rPr>
        <w:t>Alt2:</w:t>
      </w:r>
      <w:r>
        <w:rPr>
          <w:rFonts w:hint="eastAsia"/>
          <w:u w:val="none"/>
          <w:lang w:val="en-US" w:eastAsia="zh-CN"/>
        </w:rPr>
        <w:t xml:space="preserve"> </w:t>
      </w:r>
      <w:r>
        <w:rPr>
          <w:rFonts w:hint="eastAsia"/>
          <w:u w:val="none"/>
          <w:lang w:val="en-US" w:eastAsia="zh-CN"/>
        </w:rPr>
        <w:tab/>
      </w:r>
      <w:r>
        <w:rPr>
          <w:rFonts w:hint="eastAsia"/>
          <w:u w:val="none"/>
          <w:lang w:val="en-US" w:eastAsia="zh-CN"/>
        </w:rPr>
        <w:t>Network is allowed to configure f1</w:t>
      </w:r>
      <w:r>
        <w:rPr>
          <w:rFonts w:hint="default" w:ascii="Arial" w:hAnsi="Arial" w:cs="Arial"/>
          <w:u w:val="none"/>
          <w:lang w:val="en-US" w:eastAsia="zh-CN"/>
        </w:rPr>
        <w:t>≠</w:t>
      </w:r>
      <w:r>
        <w:rPr>
          <w:rFonts w:hint="eastAsia"/>
          <w:u w:val="none"/>
          <w:lang w:val="en-US" w:eastAsia="zh-CN"/>
        </w:rPr>
        <w:t xml:space="preserve"> f0, no restriction will be added for this.  </w:t>
      </w:r>
    </w:p>
    <w:p>
      <w:pPr>
        <w:spacing w:before="156"/>
        <w:rPr>
          <w:rFonts w:hint="eastAsia"/>
          <w:u w:val="none"/>
          <w:lang w:val="en-US" w:eastAsia="zh-CN"/>
        </w:rPr>
      </w:pPr>
      <w:r>
        <w:rPr>
          <w:rFonts w:hint="eastAsia"/>
          <w:u w:val="none"/>
          <w:lang w:val="en-US" w:eastAsia="zh-CN"/>
        </w:rPr>
        <w:t>Although this issue is mainly related to RAN1, and the feasibility of Alt2 is determined by RAN1, in our understanding, from RAN2</w:t>
      </w:r>
      <w:r>
        <w:rPr>
          <w:rFonts w:hint="default"/>
          <w:u w:val="none"/>
          <w:lang w:val="en-US" w:eastAsia="zh-CN"/>
        </w:rPr>
        <w:t>’</w:t>
      </w:r>
      <w:r>
        <w:rPr>
          <w:rFonts w:hint="eastAsia"/>
          <w:u w:val="none"/>
          <w:lang w:val="en-US" w:eastAsia="zh-CN"/>
        </w:rPr>
        <w:t xml:space="preserve">s point of view, it is worth to discuss the requirement of real deployment and inform RAN1 if majority companies want to support Alt2.  </w:t>
      </w:r>
    </w:p>
    <w:p>
      <w:pPr>
        <w:spacing w:before="156" w:after="156" w:afterLines="50"/>
        <w:ind w:left="1202" w:hanging="1202" w:hangingChars="570"/>
        <w:rPr>
          <w:rFonts w:hint="eastAsia"/>
          <w:lang w:val="en-US" w:eastAsia="zh-CN"/>
        </w:rPr>
      </w:pPr>
      <w:r>
        <w:rPr>
          <w:rFonts w:hint="eastAsia"/>
          <w:b/>
          <w:lang w:val="en-US" w:eastAsia="zh-CN"/>
        </w:rPr>
        <w:t>Proposal 1</w:t>
      </w:r>
      <w:r>
        <w:rPr>
          <w:rFonts w:hint="eastAsia"/>
          <w:b/>
        </w:rPr>
        <w:t xml:space="preserve">: </w:t>
      </w:r>
      <w:r>
        <w:rPr>
          <w:rFonts w:hint="eastAsia"/>
          <w:b/>
        </w:rPr>
        <w:tab/>
      </w:r>
      <w:r>
        <w:rPr>
          <w:rFonts w:hint="eastAsia"/>
          <w:b/>
          <w:lang w:val="en-US" w:eastAsia="zh-CN"/>
        </w:rPr>
        <w:t xml:space="preserve">In case of BWP option2 operation in an TDD PCell, RAN2 is kindly asked to discuss whether network is allowed to configure initial DL/UL BWP which have different center frequency from CORESET#0 in MIB. LS can be sent to RAN1 if majority companies prefer the flexible deployment. </w:t>
      </w:r>
    </w:p>
    <w:p>
      <w:pPr>
        <w:spacing w:before="156"/>
        <w:rPr>
          <w:rFonts w:hint="eastAsia"/>
          <w:u w:val="none"/>
          <w:lang w:val="en-US" w:eastAsia="zh-CN"/>
        </w:rPr>
      </w:pPr>
      <w:r>
        <w:rPr>
          <w:rFonts w:hint="eastAsia"/>
          <w:u w:val="none"/>
          <w:lang w:val="en-US" w:eastAsia="zh-CN"/>
        </w:rPr>
        <w:t xml:space="preserve">Besides issue1, the subsequent question is about the configuration of PRACH/PUCCH resources in SIB1:  </w:t>
      </w:r>
    </w:p>
    <w:p>
      <w:pPr>
        <w:spacing w:before="156"/>
        <w:rPr>
          <w:rFonts w:hint="eastAsia"/>
          <w:b w:val="0"/>
          <w:bCs w:val="0"/>
          <w:i w:val="0"/>
          <w:iCs w:val="0"/>
          <w:color w:val="C00000"/>
          <w:u w:val="none"/>
          <w:lang w:val="en-US" w:eastAsia="zh-CN"/>
        </w:rPr>
      </w:pPr>
      <w:r>
        <w:rPr>
          <w:rFonts w:hint="eastAsia"/>
          <w:b/>
          <w:bCs/>
          <w:i w:val="0"/>
          <w:iCs w:val="0"/>
          <w:color w:val="C00000"/>
          <w:u w:val="none"/>
          <w:lang w:val="en-US" w:eastAsia="zh-CN"/>
        </w:rPr>
        <w:t xml:space="preserve">Issue 2: </w:t>
      </w:r>
      <w:r>
        <w:rPr>
          <w:rFonts w:hint="eastAsia"/>
          <w:b w:val="0"/>
          <w:bCs w:val="0"/>
          <w:i w:val="0"/>
          <w:iCs w:val="0"/>
          <w:color w:val="C00000"/>
          <w:u w:val="none"/>
          <w:lang w:val="en-US" w:eastAsia="zh-CN"/>
        </w:rPr>
        <w:t>For TDD mode, whether the PRACH/PUCCH resources configured by SIB1 can be located outside the frequency range of CORESET#0?</w:t>
      </w:r>
    </w:p>
    <w:p>
      <w:pPr>
        <w:spacing w:before="156"/>
        <w:rPr>
          <w:rFonts w:hint="eastAsia"/>
          <w:lang w:val="en-US" w:eastAsia="zh-CN"/>
        </w:rPr>
      </w:pPr>
      <w:r>
        <w:rPr>
          <w:rFonts w:hint="eastAsia"/>
          <w:lang w:val="en-US" w:eastAsia="zh-CN"/>
        </w:rPr>
        <w:t xml:space="preserve">For unpaired spectrum, RAN1 agreed that asymmetric UL bandwidth and DL bandwidth is allowed, as long as they share the same center frequency. Which means even without Option2 operation, the NW is able to configure the different bandwidth of initial UL BWP in SIB1, it may bring the possibility that the configured PRACH/PUCCH resources are outside the absolute frequency range of CORESET#0. </w:t>
      </w:r>
    </w:p>
    <w:p>
      <w:pPr>
        <w:spacing w:before="156"/>
        <w:ind w:left="1265" w:leftChars="0" w:hanging="1265" w:hangingChars="600"/>
        <w:rPr>
          <w:rFonts w:hint="eastAsia"/>
          <w:lang w:val="en-US" w:eastAsia="zh-CN"/>
        </w:rPr>
      </w:pPr>
      <w:r>
        <w:rPr>
          <w:rFonts w:hint="eastAsia"/>
          <w:b/>
          <w:lang w:val="en-US" w:eastAsia="zh-CN"/>
        </w:rPr>
        <w:t>Observation2</w:t>
      </w:r>
      <w:r>
        <w:rPr>
          <w:rFonts w:hint="eastAsia"/>
          <w:b/>
        </w:rPr>
        <w:t xml:space="preserve">: </w:t>
      </w:r>
      <w:r>
        <w:rPr>
          <w:rFonts w:hint="eastAsia"/>
          <w:b/>
          <w:lang w:val="en-US" w:eastAsia="zh-CN"/>
        </w:rPr>
        <w:t xml:space="preserve">For unpaired spectrum, RAN1 agreed that network is allowed to configure asymmetric bandwidth for uplink and downlink BWPs, as long as the BWPs have the same center frequency. </w:t>
      </w:r>
    </w:p>
    <w:p>
      <w:pPr>
        <w:spacing w:before="156"/>
        <w:rPr>
          <w:rFonts w:hint="eastAsia"/>
          <w:lang w:val="en-US" w:eastAsia="zh-CN"/>
        </w:rPr>
      </w:pPr>
      <w:r>
        <w:rPr>
          <w:rFonts w:hint="eastAsia"/>
          <w:lang w:val="en-US" w:eastAsia="zh-CN"/>
        </w:rPr>
        <w:t>Hence, regarding above issue2, in our understanding, it is naturally to allow PRACH/PUCCH resources outside the frequency range of CORESET#0, so we propose.</w:t>
      </w:r>
    </w:p>
    <w:p>
      <w:pPr>
        <w:spacing w:before="156" w:after="156" w:afterLines="50"/>
        <w:ind w:left="1202" w:hanging="1202" w:hangingChars="570"/>
        <w:rPr>
          <w:rFonts w:hint="eastAsia"/>
        </w:rPr>
      </w:pPr>
      <w:r>
        <w:rPr>
          <w:rFonts w:hint="eastAsia"/>
          <w:b/>
          <w:lang w:val="en-US" w:eastAsia="zh-CN"/>
        </w:rPr>
        <w:t>Proposal 2</w:t>
      </w:r>
      <w:r>
        <w:rPr>
          <w:rFonts w:hint="eastAsia"/>
          <w:b/>
        </w:rPr>
        <w:t xml:space="preserve">: </w:t>
      </w:r>
      <w:r>
        <w:rPr>
          <w:rFonts w:hint="eastAsia"/>
          <w:b/>
        </w:rPr>
        <w:tab/>
      </w:r>
      <w:r>
        <w:rPr>
          <w:rFonts w:hint="eastAsia"/>
          <w:b/>
          <w:lang w:val="en-US" w:eastAsia="zh-CN"/>
        </w:rPr>
        <w:t>Confirm RAN2</w:t>
      </w:r>
      <w:r>
        <w:rPr>
          <w:rFonts w:hint="default"/>
          <w:b/>
          <w:lang w:val="en-US" w:eastAsia="zh-CN"/>
        </w:rPr>
        <w:t>’</w:t>
      </w:r>
      <w:r>
        <w:rPr>
          <w:rFonts w:hint="eastAsia"/>
          <w:b/>
          <w:lang w:val="en-US" w:eastAsia="zh-CN"/>
        </w:rPr>
        <w:t xml:space="preserve">s understanding that for unpaired spectrum, network is allowed to configure PRACH/PUCCH resources in SIB1 which outside the absolute frequency range of CORESET#0 in MIB.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pPr>
      <w:r>
        <w:rPr>
          <w:sz w:val="22"/>
        </w:rPr>
        <w:t xml:space="preserve">RAN2 is kindly </w:t>
      </w:r>
      <w:r>
        <w:rPr>
          <w:rFonts w:hint="eastAsia"/>
        </w:rPr>
        <w:t xml:space="preserve">asked </w:t>
      </w:r>
      <w:r>
        <w:rPr>
          <w:sz w:val="22"/>
        </w:rPr>
        <w:t>to discuss and adopt the following proposal</w:t>
      </w:r>
      <w:r>
        <w:t>:</w:t>
      </w:r>
    </w:p>
    <w:p>
      <w:pPr>
        <w:spacing w:before="156"/>
        <w:ind w:left="1265" w:leftChars="0" w:hanging="1265" w:hangingChars="600"/>
        <w:rPr>
          <w:rFonts w:hint="eastAsia"/>
          <w:lang w:val="en-US" w:eastAsia="zh-CN"/>
        </w:rPr>
      </w:pPr>
      <w:r>
        <w:rPr>
          <w:rFonts w:hint="eastAsia"/>
          <w:b/>
          <w:lang w:val="en-US" w:eastAsia="zh-CN"/>
        </w:rPr>
        <w:t>Observation1</w:t>
      </w:r>
      <w:r>
        <w:rPr>
          <w:rFonts w:hint="eastAsia"/>
          <w:b/>
        </w:rPr>
        <w:t xml:space="preserve">: </w:t>
      </w:r>
      <w:r>
        <w:rPr>
          <w:rFonts w:hint="eastAsia"/>
          <w:b/>
          <w:lang w:val="en-US" w:eastAsia="zh-CN"/>
        </w:rPr>
        <w:t xml:space="preserve">Regarding BWP Option2 operation, the configuration of initial DL BWP configured by SIB1 is applicable </w:t>
      </w:r>
      <w:r>
        <w:rPr>
          <w:rFonts w:hint="eastAsia"/>
          <w:b/>
          <w:u w:val="single"/>
          <w:lang w:val="en-US" w:eastAsia="zh-CN"/>
        </w:rPr>
        <w:t>after</w:t>
      </w:r>
      <w:r>
        <w:rPr>
          <w:rFonts w:hint="eastAsia"/>
          <w:b/>
          <w:lang w:val="en-US" w:eastAsia="zh-CN"/>
        </w:rPr>
        <w:t xml:space="preserve"> initial access. While the configuration of initial UL BWP configured by SIB1 is applicable </w:t>
      </w:r>
      <w:r>
        <w:rPr>
          <w:rFonts w:hint="eastAsia"/>
          <w:b/>
          <w:u w:val="single"/>
          <w:lang w:val="en-US" w:eastAsia="zh-CN"/>
        </w:rPr>
        <w:t>before</w:t>
      </w:r>
      <w:r>
        <w:rPr>
          <w:rFonts w:hint="eastAsia"/>
          <w:b/>
          <w:lang w:val="en-US" w:eastAsia="zh-CN"/>
        </w:rPr>
        <w:t xml:space="preserve"> initial access. </w:t>
      </w:r>
    </w:p>
    <w:p>
      <w:pPr>
        <w:spacing w:before="156"/>
        <w:ind w:left="1265" w:leftChars="0" w:hanging="1265" w:hangingChars="600"/>
        <w:rPr>
          <w:rFonts w:hint="eastAsia"/>
          <w:lang w:val="en-US" w:eastAsia="zh-CN"/>
        </w:rPr>
      </w:pPr>
      <w:r>
        <w:rPr>
          <w:rFonts w:hint="eastAsia"/>
          <w:b/>
          <w:lang w:val="en-US" w:eastAsia="zh-CN"/>
        </w:rPr>
        <w:t>Observation2</w:t>
      </w:r>
      <w:r>
        <w:rPr>
          <w:rFonts w:hint="eastAsia"/>
          <w:b/>
        </w:rPr>
        <w:t xml:space="preserve">: </w:t>
      </w:r>
      <w:r>
        <w:rPr>
          <w:rFonts w:hint="eastAsia"/>
          <w:b/>
          <w:lang w:val="en-US" w:eastAsia="zh-CN"/>
        </w:rPr>
        <w:t xml:space="preserve">For unpaired spectrum, RAN1 agreed that network is allowed to configure asymmetric bandwidth for uplink and downlink BWPs, as long as the BWPs have the same center frequency. </w:t>
      </w:r>
    </w:p>
    <w:p>
      <w:pPr>
        <w:spacing w:before="156" w:after="156" w:afterLines="50"/>
        <w:ind w:left="1202" w:hanging="1202" w:hangingChars="570"/>
        <w:rPr>
          <w:rFonts w:hint="eastAsia"/>
          <w:lang w:val="en-US" w:eastAsia="zh-CN"/>
        </w:rPr>
      </w:pPr>
      <w:r>
        <w:rPr>
          <w:rFonts w:hint="eastAsia"/>
          <w:b/>
          <w:lang w:val="en-US" w:eastAsia="zh-CN"/>
        </w:rPr>
        <w:t>Proposal 1</w:t>
      </w:r>
      <w:r>
        <w:rPr>
          <w:rFonts w:hint="eastAsia"/>
          <w:b/>
        </w:rPr>
        <w:t xml:space="preserve">: </w:t>
      </w:r>
      <w:r>
        <w:rPr>
          <w:rFonts w:hint="eastAsia"/>
          <w:b/>
        </w:rPr>
        <w:tab/>
      </w:r>
      <w:r>
        <w:rPr>
          <w:rFonts w:hint="eastAsia"/>
          <w:b/>
          <w:lang w:val="en-US" w:eastAsia="zh-CN"/>
        </w:rPr>
        <w:t xml:space="preserve">In case of BWP option2 operation in an TDD PCell, RAN2 is kindly asked to discuss whether network is allowed to configure initial DL/UL BWP which have different center frequency from CORESET#0 in MIB. LS can be sent to RAN1 if majority companies prefer the flexible deployment. </w:t>
      </w:r>
    </w:p>
    <w:p>
      <w:pPr>
        <w:spacing w:before="156" w:after="156" w:afterLines="50"/>
        <w:ind w:left="1202" w:hanging="1202" w:hangingChars="570"/>
        <w:rPr>
          <w:rFonts w:hint="eastAsia"/>
        </w:rPr>
      </w:pPr>
      <w:r>
        <w:rPr>
          <w:rFonts w:hint="eastAsia"/>
          <w:b/>
          <w:lang w:val="en-US" w:eastAsia="zh-CN"/>
        </w:rPr>
        <w:t>Proposal 2</w:t>
      </w:r>
      <w:r>
        <w:rPr>
          <w:rFonts w:hint="eastAsia"/>
          <w:b/>
        </w:rPr>
        <w:t xml:space="preserve">: </w:t>
      </w:r>
      <w:r>
        <w:rPr>
          <w:rFonts w:hint="eastAsia"/>
          <w:b/>
        </w:rPr>
        <w:tab/>
      </w:r>
      <w:r>
        <w:rPr>
          <w:rFonts w:hint="eastAsia"/>
          <w:b/>
          <w:lang w:val="en-US" w:eastAsia="zh-CN"/>
        </w:rPr>
        <w:t>Confirm RAN2</w:t>
      </w:r>
      <w:r>
        <w:rPr>
          <w:rFonts w:hint="default"/>
          <w:b/>
          <w:lang w:val="en-US" w:eastAsia="zh-CN"/>
        </w:rPr>
        <w:t>’</w:t>
      </w:r>
      <w:r>
        <w:rPr>
          <w:rFonts w:hint="eastAsia"/>
          <w:b/>
          <w:lang w:val="en-US" w:eastAsia="zh-CN"/>
        </w:rPr>
        <w:t xml:space="preserve">s understanding that for unpaired spectrum, network is allowed to configure PRACH/PUCCH resources in SIB1 which outside the absolute frequency range of CORESET#0 in MIB. </w:t>
      </w:r>
    </w:p>
    <w:p>
      <w:pPr>
        <w:pStyle w:val="67"/>
        <w:spacing w:before="156"/>
        <w:ind w:firstLine="0" w:firstLineChars="0"/>
      </w:pPr>
      <w:bookmarkStart w:id="2" w:name="_GoBack"/>
      <w:bookmarkEnd w:id="2"/>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auto"/>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spacing w:before="120"/>
      <w:rPr>
        <w:rStyle w:val="58"/>
      </w:rPr>
    </w:pPr>
    <w:r>
      <w:rPr>
        <w:rStyle w:val="58"/>
      </w:rPr>
      <w:fldChar w:fldCharType="begin"/>
    </w:r>
    <w:r>
      <w:rPr>
        <w:rStyle w:val="58"/>
      </w:rPr>
      <w:instrText xml:space="preserve">PAGE  </w:instrText>
    </w:r>
    <w:r>
      <w:rPr>
        <w:rStyle w:val="58"/>
      </w:rPr>
      <w:fldChar w:fldCharType="end"/>
    </w:r>
  </w:p>
  <w:p>
    <w:pPr>
      <w:pStyle w:val="38"/>
      <w:spacing w:before="1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05955C5"/>
    <w:multiLevelType w:val="multilevel"/>
    <w:tmpl w:val="105955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2244"/>
    <w:rsid w:val="009F3D12"/>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771801"/>
    <w:rsid w:val="07825B13"/>
    <w:rsid w:val="07864148"/>
    <w:rsid w:val="07AE0C6B"/>
    <w:rsid w:val="07CE088B"/>
    <w:rsid w:val="085636D7"/>
    <w:rsid w:val="08B665B2"/>
    <w:rsid w:val="09666D44"/>
    <w:rsid w:val="09F42949"/>
    <w:rsid w:val="0ADA27AB"/>
    <w:rsid w:val="0B233C4C"/>
    <w:rsid w:val="0B3A2C1A"/>
    <w:rsid w:val="0B8E6116"/>
    <w:rsid w:val="0C085429"/>
    <w:rsid w:val="0C767CD3"/>
    <w:rsid w:val="0CB302D0"/>
    <w:rsid w:val="0CD63978"/>
    <w:rsid w:val="0CFF2AF0"/>
    <w:rsid w:val="0D903FA1"/>
    <w:rsid w:val="0D9F789E"/>
    <w:rsid w:val="0E6675E9"/>
    <w:rsid w:val="0E7304E4"/>
    <w:rsid w:val="0F0670A0"/>
    <w:rsid w:val="0F117F9B"/>
    <w:rsid w:val="0F292443"/>
    <w:rsid w:val="0FDD0A05"/>
    <w:rsid w:val="0FF22E1E"/>
    <w:rsid w:val="10D00944"/>
    <w:rsid w:val="10E66856"/>
    <w:rsid w:val="121151DD"/>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61850D9"/>
    <w:rsid w:val="464C7438"/>
    <w:rsid w:val="465002DF"/>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505D60F8"/>
    <w:rsid w:val="509E51F9"/>
    <w:rsid w:val="50DC5240"/>
    <w:rsid w:val="513A38F8"/>
    <w:rsid w:val="518642B9"/>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F93924"/>
    <w:rsid w:val="69514322"/>
    <w:rsid w:val="69797C2C"/>
    <w:rsid w:val="69CB3D72"/>
    <w:rsid w:val="69D04AC7"/>
    <w:rsid w:val="6A2D32EF"/>
    <w:rsid w:val="6A667D8E"/>
    <w:rsid w:val="6B095FA5"/>
    <w:rsid w:val="6B5758E6"/>
    <w:rsid w:val="6C272137"/>
    <w:rsid w:val="6CA14A31"/>
    <w:rsid w:val="6CA73C88"/>
    <w:rsid w:val="6CA87341"/>
    <w:rsid w:val="6CD616AD"/>
    <w:rsid w:val="6D1B16C6"/>
    <w:rsid w:val="6D624BE1"/>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96035D"/>
    <w:rsid w:val="76A01073"/>
    <w:rsid w:val="76C36392"/>
    <w:rsid w:val="76DD7FE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28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281"/>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rFonts w:eastAsiaTheme="minorEastAsia"/>
      <w:b/>
      <w:bCs/>
      <w:kern w:val="44"/>
      <w:sz w:val="30"/>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table" w:customStyle="1" w:styleId="277">
    <w:name w:val="Table Normal1"/>
    <w:basedOn w:val="64"/>
    <w:semiHidden/>
    <w:qFormat/>
    <w:uiPriority w:val="0"/>
    <w:pPr>
      <w:spacing w:after="0"/>
    </w:pPr>
    <w:rPr>
      <w:rFonts w:ascii="Calibri" w:hAnsi="Calibri" w:cs="Calibri"/>
    </w:rPr>
  </w:style>
  <w:style w:type="character" w:customStyle="1" w:styleId="278">
    <w:name w:val="NO Char"/>
    <w:basedOn w:val="56"/>
    <w:qFormat/>
    <w:uiPriority w:val="0"/>
    <w:rPr>
      <w:rFonts w:hint="default" w:ascii="Times New Roman" w:hAnsi="Times New Roman" w:eastAsia="Times New Roman" w:cs="Times New Roman"/>
    </w:rPr>
  </w:style>
  <w:style w:type="paragraph" w:customStyle="1" w:styleId="279">
    <w:name w:val="CR Cover Page"/>
    <w:qFormat/>
    <w:uiPriority w:val="0"/>
    <w:pPr>
      <w:spacing w:after="120" w:line="259" w:lineRule="auto"/>
    </w:pPr>
    <w:rPr>
      <w:rFonts w:ascii="Arial" w:hAnsi="Arial" w:eastAsia="宋体" w:cs="Times New Roman"/>
      <w:sz w:val="21"/>
      <w:szCs w:val="22"/>
      <w:lang w:val="en-GB" w:eastAsia="en-US" w:bidi="ar-SA"/>
    </w:rPr>
  </w:style>
  <w:style w:type="paragraph" w:styleId="280">
    <w:name w:val="List Paragraph"/>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281">
    <w:name w:val="标题 5 Char"/>
    <w:basedOn w:val="56"/>
    <w:link w:val="6"/>
    <w:qFormat/>
    <w:uiPriority w:val="0"/>
    <w:rPr>
      <w:rFonts w:hint="default" w:ascii="Arial" w:hAnsi="Arial" w:eastAsia="Times New Roman" w:cs="Arial"/>
      <w:sz w:val="22"/>
    </w:rPr>
  </w:style>
  <w:style w:type="character" w:customStyle="1" w:styleId="282">
    <w:name w:val="标题 4 Char"/>
    <w:basedOn w:val="56"/>
    <w:link w:val="5"/>
    <w:qFormat/>
    <w:uiPriority w:val="0"/>
    <w:rPr>
      <w:rFonts w:ascii="Calibri Light" w:hAnsi="Calibri Light" w:eastAsia="等线 Light" w:cs="Times New Roman"/>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172D4C-C598-4EFA-8B8E-D6D3DC43F7A7}">
  <ds:schemaRefs/>
</ds:datastoreItem>
</file>

<file path=docProps/app.xml><?xml version="1.0" encoding="utf-8"?>
<Properties xmlns="http://schemas.openxmlformats.org/officeDocument/2006/extended-properties" xmlns:vt="http://schemas.openxmlformats.org/officeDocument/2006/docPropsVTypes">
  <Template>Normal</Template>
  <Pages>4</Pages>
  <Words>1117</Words>
  <Characters>6367</Characters>
  <Lines>53</Lines>
  <Paragraphs>14</Paragraphs>
  <TotalTime>1</TotalTime>
  <ScaleCrop>false</ScaleCrop>
  <LinksUpToDate>false</LinksUpToDate>
  <CharactersWithSpaces>7470</CharactersWithSpaces>
  <Application>WPS Office_11.1.0.7832_F1E327BC-269C-435d-A152-05C5408002CA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ZTE</cp:lastModifiedBy>
  <cp:lastPrinted>2113-01-01T00:00:00Z</cp:lastPrinted>
  <dcterms:modified xsi:type="dcterms:W3CDTF">2018-09-27T11:17:19Z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2052-11.1.0.7832</vt:lpwstr>
  </property>
</Properties>
</file>